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630C" w14:textId="77777777" w:rsidR="008A39BE" w:rsidRPr="008A39BE" w:rsidRDefault="008A39BE" w:rsidP="008A39BE">
      <w:pPr>
        <w:jc w:val="center"/>
        <w:rPr>
          <w:b/>
        </w:rPr>
      </w:pPr>
      <w:r w:rsidRPr="008A39BE">
        <w:rPr>
          <w:b/>
        </w:rPr>
        <w:t>COMUNICADO UNIFICADO DE DENUNCIA 24J MELILLA</w:t>
      </w:r>
    </w:p>
    <w:p w14:paraId="01A2AF7C" w14:textId="77777777" w:rsidR="008A39BE" w:rsidRDefault="008A39BE" w:rsidP="008A39BE">
      <w:pPr>
        <w:jc w:val="both"/>
      </w:pPr>
    </w:p>
    <w:p w14:paraId="5932DFB8" w14:textId="59EBF808" w:rsidR="00F56589" w:rsidRDefault="008A39BE" w:rsidP="008A39BE">
      <w:pPr>
        <w:jc w:val="both"/>
      </w:pPr>
      <w:r>
        <w:t xml:space="preserve">Desde las organizaciones de Ceuta: Asociación </w:t>
      </w:r>
      <w:proofErr w:type="spellStart"/>
      <w:r>
        <w:t>Elín</w:t>
      </w:r>
      <w:proofErr w:type="spellEnd"/>
      <w:r>
        <w:t xml:space="preserve">, No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, </w:t>
      </w:r>
      <w:proofErr w:type="spellStart"/>
      <w:r w:rsidR="005C5637">
        <w:t>Maakum</w:t>
      </w:r>
      <w:proofErr w:type="spellEnd"/>
      <w:r w:rsidR="005C5637">
        <w:t xml:space="preserve">, </w:t>
      </w:r>
      <w:proofErr w:type="spellStart"/>
      <w:r>
        <w:t>Digmun</w:t>
      </w:r>
      <w:proofErr w:type="spellEnd"/>
      <w:r>
        <w:t xml:space="preserve">, </w:t>
      </w:r>
      <w:r w:rsidR="00F56589">
        <w:t xml:space="preserve">Fundación </w:t>
      </w:r>
      <w:proofErr w:type="spellStart"/>
      <w:r w:rsidR="00F56589">
        <w:t>Cepaim</w:t>
      </w:r>
      <w:proofErr w:type="spellEnd"/>
      <w:r w:rsidR="00F56589">
        <w:t>, CCOO de Ceuta, CGT Ceuta</w:t>
      </w:r>
      <w:r w:rsidR="005C5637">
        <w:t xml:space="preserve"> y Podemos Ceuta,</w:t>
      </w:r>
      <w:r w:rsidR="00F56589">
        <w:t xml:space="preserve"> junto a los colectivos sociales y comunidades migrantes de Melilla, denunciamos los hechos que a continuación narramos. </w:t>
      </w:r>
    </w:p>
    <w:p w14:paraId="0FBD6E1D" w14:textId="77777777" w:rsidR="008A39BE" w:rsidRDefault="008A39BE" w:rsidP="008A39BE">
      <w:pPr>
        <w:jc w:val="both"/>
      </w:pPr>
      <w:r>
        <w:t xml:space="preserve">El pasado 24 de junio tuvo lugar un intento de salto a la valla de Melilla. Según la Delegación del Gobierno de la Ciudad Autónoma, unas </w:t>
      </w:r>
      <w:r w:rsidRPr="006852C6">
        <w:rPr>
          <w:b/>
        </w:rPr>
        <w:t>2.000</w:t>
      </w:r>
      <w:r>
        <w:t xml:space="preserve"> personas se aproximaron a las inmediaciones del perímetro fronterizo; </w:t>
      </w:r>
      <w:r w:rsidRPr="006852C6">
        <w:rPr>
          <w:b/>
        </w:rPr>
        <w:t>133</w:t>
      </w:r>
      <w:r>
        <w:t xml:space="preserve">, en su mayoría de origen sudanés y chadiano, lograron llegar y se encuentran ahora en el Centro de Estancia Temporal para Inmigrantes (CETI) de Melilla, donde se encuentran aisladas a la espera de </w:t>
      </w:r>
      <w:r w:rsidRPr="006852C6">
        <w:rPr>
          <w:b/>
        </w:rPr>
        <w:t>solicitar Protección Internacional</w:t>
      </w:r>
      <w:r>
        <w:t xml:space="preserve">. Asimismo, algunas personas que consiguieron llegar a territorio español fueron </w:t>
      </w:r>
      <w:r w:rsidRPr="006852C6">
        <w:rPr>
          <w:b/>
        </w:rPr>
        <w:t>violentamente devueltas en caliente</w:t>
      </w:r>
      <w:r>
        <w:t xml:space="preserve">; práctica que </w:t>
      </w:r>
      <w:r w:rsidRPr="006852C6">
        <w:rPr>
          <w:b/>
        </w:rPr>
        <w:t>vulnera la legislación internacional en materia de derechos humanos</w:t>
      </w:r>
      <w:r>
        <w:t>.</w:t>
      </w:r>
    </w:p>
    <w:p w14:paraId="71360C6C" w14:textId="77777777" w:rsidR="008A39BE" w:rsidRDefault="008A39BE" w:rsidP="008A39BE">
      <w:pPr>
        <w:jc w:val="both"/>
      </w:pPr>
      <w:r w:rsidRPr="006852C6">
        <w:rPr>
          <w:b/>
        </w:rPr>
        <w:t>Las políticas migratorias, materializadas en la brutalidad policial y la militarización fronteriza</w:t>
      </w:r>
      <w:r>
        <w:t xml:space="preserve">, han provocado la muerte de, al menos, </w:t>
      </w:r>
      <w:r w:rsidRPr="006852C6">
        <w:rPr>
          <w:b/>
        </w:rPr>
        <w:t>37 personas migrantes y refugiadas</w:t>
      </w:r>
      <w:r>
        <w:t xml:space="preserve">. Los cuerpos están siendo enterrados en Nador sin realizar autopsias esenciales para una posible investigación, </w:t>
      </w:r>
      <w:r w:rsidRPr="006852C6">
        <w:rPr>
          <w:b/>
        </w:rPr>
        <w:t>sin identificar y sin informar a las familias</w:t>
      </w:r>
      <w:r>
        <w:t xml:space="preserve">. Igualmente, </w:t>
      </w:r>
      <w:r w:rsidRPr="006852C6">
        <w:rPr>
          <w:b/>
        </w:rPr>
        <w:t>más de 300 personas fueron hospitalizadas</w:t>
      </w:r>
      <w:r>
        <w:t xml:space="preserve">, no habiendo recursos suficientes para atenderlas en el hospital El </w:t>
      </w:r>
      <w:proofErr w:type="spellStart"/>
      <w:r>
        <w:t>Hassani</w:t>
      </w:r>
      <w:proofErr w:type="spellEnd"/>
      <w:r>
        <w:t xml:space="preserve"> de </w:t>
      </w:r>
      <w:proofErr w:type="spellStart"/>
      <w:r>
        <w:t>Nador</w:t>
      </w:r>
      <w:proofErr w:type="spellEnd"/>
      <w:r>
        <w:t>. Todo ello, como resultado del trato cruel e inhumano y la omisión del deber de socorro.</w:t>
      </w:r>
    </w:p>
    <w:p w14:paraId="41878CC9" w14:textId="77777777" w:rsidR="008A39BE" w:rsidRDefault="008A39BE" w:rsidP="008A39BE">
      <w:pPr>
        <w:jc w:val="both"/>
      </w:pPr>
      <w:r>
        <w:t xml:space="preserve">En las últimas semanas se han </w:t>
      </w:r>
      <w:r w:rsidRPr="006852C6">
        <w:rPr>
          <w:b/>
        </w:rPr>
        <w:t>intensificado las redadas, persecuciones y desplazamientos forzosos en Marruecos en autobuses</w:t>
      </w:r>
      <w:r>
        <w:t>, por parte de la gendarmería contra las comunidades migrantes que se ven obligadas a asentarse en los bosques cercanos a la ciudad de Nador. Esta creciente hostilidad ha influido inevitablemente en la naturaleza de este salto.</w:t>
      </w:r>
    </w:p>
    <w:p w14:paraId="0830D71C" w14:textId="77777777" w:rsidR="008A39BE" w:rsidRDefault="008A39BE" w:rsidP="008A39BE">
      <w:pPr>
        <w:jc w:val="both"/>
      </w:pPr>
      <w:r>
        <w:t xml:space="preserve">Esto ocurre en un </w:t>
      </w:r>
      <w:r w:rsidRPr="006852C6">
        <w:rPr>
          <w:b/>
        </w:rPr>
        <w:t xml:space="preserve">escenario de </w:t>
      </w:r>
      <w:r w:rsidRPr="006852C6">
        <w:rPr>
          <w:b/>
          <w:i/>
        </w:rPr>
        <w:t>calma tensa</w:t>
      </w:r>
      <w:r w:rsidRPr="006852C6">
        <w:rPr>
          <w:b/>
        </w:rPr>
        <w:t xml:space="preserve"> entre los gobiernos de España y Marruecos</w:t>
      </w:r>
      <w:r>
        <w:t xml:space="preserve">. Tras el anuncio del ejecutivo español mostrando apoyo a la “iniciativa de autonomía marroquí” sobre la cuestión del Sáhara Occidental, el pasado 7 de abril entró en vigor un convenio entre España y Marruecos con la intención de incrementar </w:t>
      </w:r>
      <w:r w:rsidRPr="006852C6">
        <w:rPr>
          <w:b/>
        </w:rPr>
        <w:t>la cooperación en materia de seguridad y de lucha contra la delincuencia contribuyendo a criminalizar las migraciones</w:t>
      </w:r>
      <w:r>
        <w:t xml:space="preserve">. También hay que contar con la intención de incluir Ceuta y Melilla bajo protección de la OTAN, lo que </w:t>
      </w:r>
      <w:r w:rsidRPr="006852C6">
        <w:rPr>
          <w:b/>
        </w:rPr>
        <w:t>contribuirá a la militarización, securitización y externalización, aún más, de la frontera sur</w:t>
      </w:r>
      <w:r>
        <w:t>.</w:t>
      </w:r>
    </w:p>
    <w:p w14:paraId="54B909B7" w14:textId="77777777" w:rsidR="008A39BE" w:rsidRDefault="008A39BE" w:rsidP="008A39BE">
      <w:pPr>
        <w:jc w:val="both"/>
      </w:pPr>
      <w:r>
        <w:t xml:space="preserve">Las entidades y las personas que apoyamos este comunicado, </w:t>
      </w:r>
      <w:r w:rsidRPr="006852C6">
        <w:rPr>
          <w:b/>
        </w:rPr>
        <w:t>NOS SOLIDARIZAMOS</w:t>
      </w:r>
      <w:r>
        <w:t xml:space="preserve"> con las familias de las 37 personas muertas, víctimas de las prácticas y políticas migratorias que se traducen realmente en necropolíticas. </w:t>
      </w:r>
      <w:r w:rsidRPr="006852C6">
        <w:rPr>
          <w:b/>
        </w:rPr>
        <w:t>DENUNCIAMOS</w:t>
      </w:r>
      <w:r>
        <w:t xml:space="preserve"> la vulneración de la legislación internacional en materia de derechos humanos, especialmente la Convención de Ginebra sobre el Estatuto de los refugiados, así como </w:t>
      </w:r>
      <w:r w:rsidRPr="006852C6">
        <w:rPr>
          <w:b/>
        </w:rPr>
        <w:t>la legitimación del racismo institucional que agrede a los cuerpos negros en la frontera</w:t>
      </w:r>
      <w:r>
        <w:t>.</w:t>
      </w:r>
    </w:p>
    <w:p w14:paraId="59B68254" w14:textId="77777777" w:rsidR="008A39BE" w:rsidRPr="00FA6F2C" w:rsidRDefault="008A39BE" w:rsidP="008A39BE">
      <w:pPr>
        <w:jc w:val="both"/>
        <w:rPr>
          <w:b/>
        </w:rPr>
      </w:pPr>
      <w:r>
        <w:t>Por ell</w:t>
      </w:r>
      <w:r w:rsidRPr="00FA6F2C">
        <w:t>o,</w:t>
      </w:r>
      <w:r w:rsidRPr="00FA6F2C">
        <w:rPr>
          <w:b/>
        </w:rPr>
        <w:t xml:space="preserve"> EXIGIMOS</w:t>
      </w:r>
    </w:p>
    <w:p w14:paraId="49B2A9FB" w14:textId="77777777" w:rsidR="008A39BE" w:rsidRPr="00FA6F2C" w:rsidRDefault="008A39BE" w:rsidP="008A39BE">
      <w:pPr>
        <w:jc w:val="both"/>
        <w:rPr>
          <w:b/>
        </w:rPr>
      </w:pPr>
      <w:r w:rsidRPr="00FA6F2C">
        <w:rPr>
          <w:b/>
        </w:rPr>
        <w:t>→ Investigación independiente que esclarezca las muertes ocurridas; así como, la reparación de las víctimas (identificación, repatriación e información a las familias).</w:t>
      </w:r>
    </w:p>
    <w:p w14:paraId="662FD760" w14:textId="77777777" w:rsidR="008A39BE" w:rsidRPr="00FA6F2C" w:rsidRDefault="008A39BE" w:rsidP="008A39BE">
      <w:pPr>
        <w:jc w:val="both"/>
        <w:rPr>
          <w:b/>
        </w:rPr>
      </w:pPr>
      <w:r w:rsidRPr="00FA6F2C">
        <w:rPr>
          <w:b/>
        </w:rPr>
        <w:t>→ El acceso a una sanidad de calidad y atención especializada a las personas heridas.</w:t>
      </w:r>
    </w:p>
    <w:p w14:paraId="54666BDE" w14:textId="77777777" w:rsidR="008A39BE" w:rsidRPr="00FA6F2C" w:rsidRDefault="008A39BE" w:rsidP="008A39BE">
      <w:pPr>
        <w:jc w:val="both"/>
        <w:rPr>
          <w:b/>
        </w:rPr>
      </w:pPr>
      <w:r w:rsidRPr="00FA6F2C">
        <w:rPr>
          <w:b/>
        </w:rPr>
        <w:t>→ Finalización de las devoluciones en caliente y derogación, por parte de los grupos parlamentarios, de los rechazos en frontera en la reforma de la Ley de Seguridad Ciudadana.</w:t>
      </w:r>
    </w:p>
    <w:p w14:paraId="7845165C" w14:textId="77777777" w:rsidR="008A39BE" w:rsidRPr="00FA6F2C" w:rsidRDefault="008A39BE" w:rsidP="008A39BE">
      <w:pPr>
        <w:jc w:val="both"/>
        <w:rPr>
          <w:b/>
        </w:rPr>
      </w:pPr>
      <w:r w:rsidRPr="00FA6F2C">
        <w:rPr>
          <w:b/>
        </w:rPr>
        <w:lastRenderedPageBreak/>
        <w:t>→ La protección, garantía y mecanismos de monitoreo de los Derechos Humanos en toda la Frontera Sur, respetando los acuerdos internacionales, especialmente el Estatuto de las Personas Refugiadas, y atendiendo a la particular vulnerabilidad de las menores.</w:t>
      </w:r>
    </w:p>
    <w:p w14:paraId="0D77CB26" w14:textId="77777777" w:rsidR="008A39BE" w:rsidRPr="00FA6F2C" w:rsidRDefault="008A39BE" w:rsidP="008A39BE">
      <w:pPr>
        <w:jc w:val="both"/>
        <w:rPr>
          <w:b/>
        </w:rPr>
      </w:pPr>
      <w:r w:rsidRPr="00FA6F2C">
        <w:rPr>
          <w:b/>
        </w:rPr>
        <w:t xml:space="preserve">→ Transparencia en relación con la “nueva etapa” de partenariado entre España y Marruecos; así </w:t>
      </w:r>
      <w:r w:rsidR="006852C6" w:rsidRPr="00FA6F2C">
        <w:rPr>
          <w:b/>
        </w:rPr>
        <w:t>como</w:t>
      </w:r>
      <w:r w:rsidRPr="00FA6F2C">
        <w:rPr>
          <w:b/>
        </w:rPr>
        <w:t xml:space="preserve"> en qué se gasta el dinero que recibe Marruecos de la UE y España.</w:t>
      </w:r>
    </w:p>
    <w:p w14:paraId="47B930DE" w14:textId="77777777" w:rsidR="000E49DC" w:rsidRPr="00FA6F2C" w:rsidRDefault="008A39BE" w:rsidP="008A39BE">
      <w:pPr>
        <w:jc w:val="both"/>
        <w:rPr>
          <w:b/>
        </w:rPr>
      </w:pPr>
      <w:r w:rsidRPr="00FA6F2C">
        <w:rPr>
          <w:b/>
        </w:rPr>
        <w:t>→ Establecimiento de VÍAS LEGALES Y SEGURA</w:t>
      </w:r>
      <w:bookmarkStart w:id="0" w:name="_GoBack"/>
      <w:bookmarkEnd w:id="0"/>
      <w:r w:rsidRPr="00FA6F2C">
        <w:rPr>
          <w:b/>
        </w:rPr>
        <w:t>S y DEROGACIÓN DE LA LEY DE EXTRANJERÍA.</w:t>
      </w:r>
    </w:p>
    <w:sectPr w:rsidR="000E49DC" w:rsidRPr="00FA6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E"/>
    <w:rsid w:val="000E49DC"/>
    <w:rsid w:val="003D470F"/>
    <w:rsid w:val="005C5637"/>
    <w:rsid w:val="006852C6"/>
    <w:rsid w:val="00735AF1"/>
    <w:rsid w:val="008A39BE"/>
    <w:rsid w:val="00D90052"/>
    <w:rsid w:val="00F56589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AF0A"/>
  <w15:chartTrackingRefBased/>
  <w15:docId w15:val="{61007DF3-159A-4C97-A2C4-9F913FE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2022-07-01T18:13:00Z</dcterms:created>
  <dcterms:modified xsi:type="dcterms:W3CDTF">2022-07-01T18:13:00Z</dcterms:modified>
</cp:coreProperties>
</file>